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7C1B4CC0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D4329F">
        <w:rPr>
          <w:rStyle w:val="s3"/>
          <w:rFonts w:eastAsia="Times New Roman"/>
          <w:sz w:val="24"/>
          <w:szCs w:val="24"/>
        </w:rPr>
        <w:t>1</w:t>
      </w:r>
    </w:p>
    <w:p w14:paraId="67034A41" w14:textId="328BE04D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556713">
        <w:rPr>
          <w:rStyle w:val="s3"/>
          <w:rFonts w:eastAsia="Times New Roman"/>
          <w:sz w:val="24"/>
          <w:szCs w:val="24"/>
        </w:rPr>
        <w:t>43</w:t>
      </w:r>
      <w:r w:rsidR="00837E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37E98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91486B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91486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 w:themeFill="background1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9738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34B7EC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 w:rsidRPr="0091486B">
        <w:rPr>
          <w:rStyle w:val="apple-converted-space"/>
          <w:rFonts w:eastAsia="Times New Roman"/>
          <w:sz w:val="24"/>
          <w:szCs w:val="24"/>
        </w:rPr>
        <w:t>1</w:t>
      </w:r>
      <w:r w:rsidR="00133DD5">
        <w:rPr>
          <w:rStyle w:val="apple-converted-space"/>
          <w:rFonts w:eastAsia="Times New Roman"/>
          <w:sz w:val="24"/>
          <w:szCs w:val="24"/>
        </w:rPr>
        <w:t>3</w:t>
      </w:r>
      <w:r w:rsidR="0097386D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56B16">
        <w:rPr>
          <w:rStyle w:val="apple-converted-space"/>
          <w:rFonts w:eastAsia="Times New Roman"/>
          <w:sz w:val="24"/>
          <w:szCs w:val="24"/>
        </w:rPr>
        <w:t>yr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312D3E7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91486B">
        <w:rPr>
          <w:rStyle w:val="s3"/>
          <w:rFonts w:eastAsia="Times New Roman"/>
          <w:sz w:val="24"/>
          <w:szCs w:val="24"/>
        </w:rPr>
        <w:t>G</w:t>
      </w:r>
      <w:r w:rsidR="00133DD5">
        <w:rPr>
          <w:rStyle w:val="s3"/>
          <w:rFonts w:eastAsia="Times New Roman"/>
          <w:sz w:val="24"/>
          <w:szCs w:val="24"/>
        </w:rPr>
        <w:t>3P3A0</w:t>
      </w:r>
    </w:p>
    <w:p w14:paraId="28948193" w14:textId="38801CF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33DD5">
        <w:rPr>
          <w:rStyle w:val="s3"/>
          <w:rFonts w:eastAsia="Times New Roman"/>
          <w:sz w:val="24"/>
          <w:szCs w:val="24"/>
        </w:rPr>
        <w:t>2</w:t>
      </w:r>
      <w:r w:rsidR="00556713">
        <w:rPr>
          <w:rStyle w:val="s3"/>
          <w:rFonts w:eastAsia="Times New Roman"/>
          <w:sz w:val="24"/>
          <w:szCs w:val="24"/>
        </w:rPr>
        <w:t>1</w:t>
      </w:r>
      <w:r w:rsidR="00837E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37E98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5671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55671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9148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55671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55671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5671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5671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133DD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33DD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045BBC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4D7F85">
        <w:rPr>
          <w:rStyle w:val="s3"/>
          <w:rFonts w:eastAsia="Times New Roman"/>
          <w:sz w:val="24"/>
          <w:szCs w:val="24"/>
        </w:rPr>
        <w:t>1</w:t>
      </w:r>
      <w:r w:rsidR="00556713">
        <w:rPr>
          <w:rStyle w:val="s3"/>
          <w:rFonts w:eastAsia="Times New Roman"/>
          <w:sz w:val="24"/>
          <w:szCs w:val="24"/>
        </w:rPr>
        <w:t>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D48A17B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91486B">
        <w:rPr>
          <w:rStyle w:val="apple-converted-space"/>
          <w:rFonts w:eastAsia="Times New Roman"/>
          <w:sz w:val="24"/>
          <w:szCs w:val="24"/>
        </w:rPr>
        <w:t>UO</w:t>
      </w:r>
      <w:r w:rsidR="000A449A">
        <w:rPr>
          <w:rStyle w:val="apple-converted-space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</w:t>
      </w:r>
    </w:p>
    <w:p w14:paraId="2D248207" w14:textId="6B445EF2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91486B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55671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55671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55671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55671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55671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55671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133DD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133DD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9738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DE19CCB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556713">
        <w:rPr>
          <w:rStyle w:val="apple-converted-space"/>
          <w:rFonts w:eastAsia="Times New Roman"/>
          <w:sz w:val="24"/>
          <w:szCs w:val="24"/>
        </w:rPr>
        <w:t>abnormal duct change</w:t>
      </w:r>
    </w:p>
    <w:p w14:paraId="5CCF7ED2" w14:textId="2C326BFA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55671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5671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03"/>
        <w:gridCol w:w="4909"/>
        <w:gridCol w:w="433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556713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4C399E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556713">
              <w:rPr>
                <w:rStyle w:val="s3"/>
                <w:b w:val="0"/>
                <w:bCs w:val="0"/>
                <w:sz w:val="24"/>
                <w:szCs w:val="24"/>
              </w:rPr>
              <w:t>37</w:t>
            </w:r>
            <w:r w:rsidR="0091486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97AC7D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556713">
              <w:rPr>
                <w:rStyle w:val="s3"/>
                <w:sz w:val="24"/>
                <w:szCs w:val="24"/>
              </w:rPr>
              <w:t>37</w:t>
            </w:r>
            <w:r w:rsidR="00133DD5">
              <w:rPr>
                <w:rStyle w:val="s3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556713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238446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556713">
              <w:rPr>
                <w:rStyle w:val="s3"/>
                <w:b w:val="0"/>
                <w:bCs w:val="0"/>
                <w:sz w:val="24"/>
                <w:szCs w:val="24"/>
              </w:rPr>
              <w:t>248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0EC69F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proofErr w:type="gramStart"/>
            <w:r w:rsidR="00556713">
              <w:rPr>
                <w:rStyle w:val="s3"/>
                <w:sz w:val="24"/>
                <w:szCs w:val="24"/>
              </w:rPr>
              <w:t>248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556713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0D5D1B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556713">
              <w:rPr>
                <w:rStyle w:val="s3"/>
                <w:b w:val="0"/>
                <w:bCs w:val="0"/>
                <w:sz w:val="24"/>
                <w:szCs w:val="24"/>
              </w:rPr>
              <w:t>113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E0F266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556713">
              <w:rPr>
                <w:rStyle w:val="s3"/>
                <w:sz w:val="24"/>
                <w:szCs w:val="24"/>
              </w:rPr>
              <w:t>126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556713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527B83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="002544A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556713">
              <w:rPr>
                <w:rStyle w:val="s3"/>
                <w:b w:val="0"/>
                <w:bCs w:val="0"/>
                <w:sz w:val="24"/>
                <w:szCs w:val="24"/>
              </w:rPr>
              <w:t xml:space="preserve">39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EF9E97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556713">
              <w:rPr>
                <w:rStyle w:val="s3"/>
                <w:sz w:val="24"/>
                <w:szCs w:val="24"/>
              </w:rPr>
              <w:t>35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5413F4F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 xml:space="preserve">Elasticity ratio (shear ratio): </w:t>
      </w:r>
      <w:r w:rsidR="00837E98">
        <w:rPr>
          <w:rStyle w:val="s3"/>
          <w:sz w:val="24"/>
          <w:szCs w:val="24"/>
        </w:rPr>
        <w:t>5</w:t>
      </w:r>
      <w:r w:rsidR="00556713">
        <w:rPr>
          <w:rStyle w:val="s3"/>
          <w:sz w:val="24"/>
          <w:szCs w:val="24"/>
        </w:rPr>
        <w:t>.8</w:t>
      </w:r>
    </w:p>
    <w:p w14:paraId="647D648F" w14:textId="2422B91E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556713">
        <w:rPr>
          <w:rStyle w:val="s3"/>
          <w:sz w:val="24"/>
          <w:szCs w:val="24"/>
        </w:rPr>
        <w:t xml:space="preserve">283.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5671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5671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55671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55671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449A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2B0C"/>
    <w:rsid w:val="00113FF1"/>
    <w:rsid w:val="00131A52"/>
    <w:rsid w:val="00133DD5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544A3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460EF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D7F85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56713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37E98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486B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386D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110E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329F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C3B07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2025-09-10T20:56:00Z</dcterms:created>
  <dcterms:modified xsi:type="dcterms:W3CDTF">2025-09-13T05:22:00Z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